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B46DAF" w14:textId="77777777" w:rsidR="00E07C35" w:rsidRPr="00FF71CE" w:rsidRDefault="005B2781">
      <w:pPr>
        <w:spacing w:after="120"/>
        <w:jc w:val="center"/>
        <w:rPr>
          <w:rFonts w:ascii="PP Gatwick" w:hAnsi="PP Gatwick" w:cs="Open Sans"/>
        </w:rPr>
      </w:pPr>
      <w:bookmarkStart w:id="0" w:name="_GoBack"/>
      <w:bookmarkEnd w:id="0"/>
      <w:r w:rsidRPr="00FF71CE">
        <w:rPr>
          <w:rFonts w:ascii="PP Gatwick" w:hAnsi="PP Gatwick" w:cs="Open Sans"/>
          <w:b/>
          <w:bCs/>
          <w:color w:val="196B24" w:themeColor="accent3"/>
          <w:sz w:val="44"/>
          <w:szCs w:val="44"/>
        </w:rPr>
        <w:t>ESG Eszköztár</w:t>
      </w:r>
    </w:p>
    <w:p w14:paraId="2AE09CC1" w14:textId="77777777" w:rsidR="00E07C35" w:rsidRPr="00FF71CE" w:rsidRDefault="005B2781" w:rsidP="78D43160">
      <w:pPr>
        <w:spacing w:after="80"/>
        <w:jc w:val="center"/>
        <w:rPr>
          <w:rFonts w:ascii="Open Sans" w:hAnsi="Open Sans" w:cs="Open Sans"/>
          <w:b/>
          <w:color w:val="196B24" w:themeColor="accent3"/>
          <w:sz w:val="28"/>
          <w:szCs w:val="28"/>
        </w:rPr>
      </w:pPr>
      <w:r w:rsidRPr="00FF71CE">
        <w:rPr>
          <w:rFonts w:ascii="Open Sans" w:hAnsi="Open Sans" w:cs="Open Sans"/>
          <w:b/>
          <w:color w:val="196B24" w:themeColor="accent3"/>
          <w:sz w:val="28"/>
          <w:szCs w:val="28"/>
        </w:rPr>
        <w:t>Útmutató kis- és középvállalkozások részére</w:t>
      </w:r>
    </w:p>
    <w:p w14:paraId="05EA6B36" w14:textId="77777777" w:rsidR="00E07C35" w:rsidRPr="00FF71CE" w:rsidRDefault="005B2781">
      <w:pPr>
        <w:pBdr>
          <w:bottom w:val="single" w:sz="12" w:space="8" w:color="1F3864"/>
        </w:pBdr>
        <w:spacing w:after="480"/>
        <w:jc w:val="center"/>
        <w:rPr>
          <w:rFonts w:ascii="Open Sans" w:hAnsi="Open Sans" w:cs="Open Sans"/>
        </w:rPr>
      </w:pPr>
      <w:r w:rsidRPr="00FF71CE">
        <w:rPr>
          <w:rFonts w:ascii="Open Sans" w:hAnsi="Open Sans" w:cs="Open Sans"/>
          <w:i/>
          <w:iCs/>
          <w:color w:val="595959"/>
        </w:rPr>
        <w:t>Hat Excel-sablonból álló keretrendszer az ESG-felkészülés első lépéseihez</w:t>
      </w:r>
    </w:p>
    <w:p w14:paraId="0D1FBAF5" w14:textId="77777777" w:rsidR="00E07C35" w:rsidRPr="00FF71CE" w:rsidRDefault="005B2781" w:rsidP="78D43160">
      <w:pPr>
        <w:pStyle w:val="Cmsor1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t>1. Bevezető</w:t>
      </w:r>
    </w:p>
    <w:p w14:paraId="1553EF4C" w14:textId="77777777" w:rsidR="00E07C35" w:rsidRPr="00FF71CE" w:rsidRDefault="005B2781">
      <w:pPr>
        <w:spacing w:after="120" w:line="300" w:lineRule="auto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Az eszköztár célja, hogy kis- és középvállalkozások számára elérhetővé tegyen egy egységes, könnyen használható keretrendszert az ESG-felkészülés első lépéseihez. A csomag hat egymásra épülő Excel-sablont tartalmaz, amelyek együttesen lefedik a fenntarthatósági átvilágítás alapvető logikai lépéseit: az érintettek azonosításától a stratégiai cselekvési tervig.</w:t>
      </w:r>
    </w:p>
    <w:p w14:paraId="500FE31E" w14:textId="77777777" w:rsidR="00E07C35" w:rsidRPr="00FF71CE" w:rsidRDefault="005B2781">
      <w:pPr>
        <w:spacing w:after="120" w:line="300" w:lineRule="auto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A sablonok általános, ágazatfüggetlen keretet adnak. Kialakításukkor arra törekedtünk, hogy önállóan is értelmezhetők legyenek, ugyanakkor nem helyettesítik a részletes, vállalatspecifikus módszertant. Az eszközök a 2023. évi CVIII. törvény (ESG törvény) és a Szabályozott Tevékenységek Felügyeleti Hatósága (SZTFH) által kiadott ESG-útmutatók szellemiségét követik, azok rendszerszintű logikájára épülnek.</w:t>
      </w:r>
    </w:p>
    <w:p w14:paraId="76FB1E50" w14:textId="77777777" w:rsidR="00E07C35" w:rsidRPr="00FF71CE" w:rsidRDefault="005B2781" w:rsidP="3BAE7B0F">
      <w:pPr>
        <w:pStyle w:val="Cmsor1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t>2. Az eszközök egymásra épülése</w:t>
      </w:r>
    </w:p>
    <w:p w14:paraId="1AC6DB2D" w14:textId="77777777" w:rsidR="00E07C35" w:rsidRPr="00FF71CE" w:rsidRDefault="005B2781">
      <w:pPr>
        <w:spacing w:after="120" w:line="300" w:lineRule="auto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A hat sablon egy hat lépéses folyamat mentén halad: az első négy eszköz a jelenlegi helyzet feltérképezésére szolgál („hol tartunk”), az utolsó kettő pedig a jövőbeli cselekvésre („hová tartunk”). Az egyes lépések kimenetei a következő lépés bemeneteit adják, ezért a javasolt sorrend betartása fontos.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7"/>
        <w:gridCol w:w="2359"/>
        <w:gridCol w:w="3203"/>
        <w:gridCol w:w="2721"/>
      </w:tblGrid>
      <w:tr w:rsidR="00E07C35" w:rsidRPr="00FF71CE" w14:paraId="6E16E86E" w14:textId="77777777" w:rsidTr="00FF71CE">
        <w:trPr>
          <w:tblHeader/>
        </w:trPr>
        <w:tc>
          <w:tcPr>
            <w:tcW w:w="10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196B24" w:themeFill="accent3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9D3076A" w14:textId="77777777" w:rsidR="00E07C35" w:rsidRPr="00FF71CE" w:rsidRDefault="005B2781">
            <w:pPr>
              <w:jc w:val="center"/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color w:val="FFFFFF"/>
                <w:sz w:val="20"/>
                <w:szCs w:val="20"/>
              </w:rPr>
              <w:t>Sorrend</w:t>
            </w:r>
          </w:p>
        </w:tc>
        <w:tc>
          <w:tcPr>
            <w:tcW w:w="2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196B24" w:themeFill="accent3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FD064F2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color w:val="FFFFFF"/>
                <w:sz w:val="20"/>
                <w:szCs w:val="20"/>
              </w:rPr>
              <w:t>Eszköz</w:t>
            </w:r>
          </w:p>
        </w:tc>
        <w:tc>
          <w:tcPr>
            <w:tcW w:w="32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196B24" w:themeFill="accent3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8BD5FEC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color w:val="FFFFFF"/>
                <w:sz w:val="20"/>
                <w:szCs w:val="20"/>
              </w:rPr>
              <w:t>Fő kérdés</w:t>
            </w:r>
          </w:p>
        </w:tc>
        <w:tc>
          <w:tcPr>
            <w:tcW w:w="27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196B24" w:themeFill="accent3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415A991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color w:val="FFFFFF"/>
                <w:sz w:val="20"/>
                <w:szCs w:val="20"/>
              </w:rPr>
              <w:t>Kimenet</w:t>
            </w:r>
          </w:p>
        </w:tc>
      </w:tr>
      <w:tr w:rsidR="00E07C35" w:rsidRPr="00FF71CE" w14:paraId="3D6157D6" w14:textId="77777777" w:rsidTr="00FF71CE">
        <w:tc>
          <w:tcPr>
            <w:tcW w:w="10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FDFAC1C" w14:textId="77777777" w:rsidR="00E07C35" w:rsidRPr="00FF71CE" w:rsidRDefault="005B2781">
            <w:pPr>
              <w:jc w:val="center"/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2DA9A98" w14:textId="0642F140" w:rsidR="00E07C35" w:rsidRPr="00FF71CE" w:rsidRDefault="00EB5F1C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Stakeholder térkép</w:t>
            </w:r>
          </w:p>
        </w:tc>
        <w:tc>
          <w:tcPr>
            <w:tcW w:w="32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7698CC3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Kikre kell figyelnünk?</w:t>
            </w:r>
          </w:p>
        </w:tc>
        <w:tc>
          <w:tcPr>
            <w:tcW w:w="27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74A02FD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Priorizált érintetti lista</w:t>
            </w:r>
          </w:p>
        </w:tc>
      </w:tr>
      <w:tr w:rsidR="00E07C35" w:rsidRPr="00FF71CE" w14:paraId="67562118" w14:textId="77777777" w:rsidTr="00FF71CE">
        <w:tc>
          <w:tcPr>
            <w:tcW w:w="10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A7381DC" w14:textId="77777777" w:rsidR="00E07C35" w:rsidRPr="00FF71CE" w:rsidRDefault="005B2781">
            <w:pPr>
              <w:jc w:val="center"/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C49BBF3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GAP-analízis</w:t>
            </w:r>
          </w:p>
        </w:tc>
        <w:tc>
          <w:tcPr>
            <w:tcW w:w="32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3BC29C0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Hol állunk most a kívánt állapothoz képest?</w:t>
            </w:r>
          </w:p>
        </w:tc>
        <w:tc>
          <w:tcPr>
            <w:tcW w:w="27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49A87BC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Azonosított hiányterületek</w:t>
            </w:r>
          </w:p>
        </w:tc>
      </w:tr>
      <w:tr w:rsidR="00E07C35" w:rsidRPr="00FF71CE" w14:paraId="5F0C0542" w14:textId="77777777" w:rsidTr="00FF71CE">
        <w:tc>
          <w:tcPr>
            <w:tcW w:w="10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E4081D6" w14:textId="77777777" w:rsidR="00E07C35" w:rsidRPr="00FF71CE" w:rsidRDefault="005B2781">
            <w:pPr>
              <w:jc w:val="center"/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3BC1F311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Kettős lényegességi elemzés</w:t>
            </w:r>
          </w:p>
        </w:tc>
        <w:tc>
          <w:tcPr>
            <w:tcW w:w="32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A96A4A0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Mely ESG-témák valóban lényegesek?</w:t>
            </w:r>
          </w:p>
        </w:tc>
        <w:tc>
          <w:tcPr>
            <w:tcW w:w="27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036529D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Lényeges témák rövid listája</w:t>
            </w:r>
          </w:p>
        </w:tc>
      </w:tr>
      <w:tr w:rsidR="00E07C35" w:rsidRPr="00FF71CE" w14:paraId="451B5D3D" w14:textId="77777777" w:rsidTr="00FF71CE">
        <w:tc>
          <w:tcPr>
            <w:tcW w:w="10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B32A5F7" w14:textId="77777777" w:rsidR="00E07C35" w:rsidRPr="00FF71CE" w:rsidRDefault="005B2781">
            <w:pPr>
              <w:jc w:val="center"/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2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115F1A4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Kockázatelemzés</w:t>
            </w:r>
          </w:p>
        </w:tc>
        <w:tc>
          <w:tcPr>
            <w:tcW w:w="32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1E3CC44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Milyen ESG-kockázatokkal szembesülünk?</w:t>
            </w:r>
          </w:p>
        </w:tc>
        <w:tc>
          <w:tcPr>
            <w:tcW w:w="27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B1FFC35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Priorizált kockázati regiszter</w:t>
            </w:r>
          </w:p>
        </w:tc>
      </w:tr>
      <w:tr w:rsidR="00E07C35" w:rsidRPr="00FF71CE" w14:paraId="6D537C11" w14:textId="77777777" w:rsidTr="00FF71CE">
        <w:tc>
          <w:tcPr>
            <w:tcW w:w="10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5D4BADC" w14:textId="77777777" w:rsidR="00E07C35" w:rsidRPr="00FF71CE" w:rsidRDefault="005B2781">
            <w:pPr>
              <w:jc w:val="center"/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D1171A0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Célmeghatározás</w:t>
            </w:r>
          </w:p>
        </w:tc>
        <w:tc>
          <w:tcPr>
            <w:tcW w:w="32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140C995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Mit akarunk elérni és mikorra?</w:t>
            </w:r>
          </w:p>
        </w:tc>
        <w:tc>
          <w:tcPr>
            <w:tcW w:w="27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D825DC0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SMART célrendszer KPI-okkal</w:t>
            </w:r>
          </w:p>
        </w:tc>
      </w:tr>
      <w:tr w:rsidR="00E07C35" w:rsidRPr="00FF71CE" w14:paraId="507940E1" w14:textId="77777777" w:rsidTr="00FF71CE">
        <w:tc>
          <w:tcPr>
            <w:tcW w:w="10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36CB98E7" w14:textId="77777777" w:rsidR="00E07C35" w:rsidRPr="00FF71CE" w:rsidRDefault="005B2781">
            <w:pPr>
              <w:jc w:val="center"/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3BB5B228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b/>
                <w:bCs/>
                <w:sz w:val="20"/>
                <w:szCs w:val="20"/>
              </w:rPr>
              <w:t>Stratégia</w:t>
            </w:r>
          </w:p>
        </w:tc>
        <w:tc>
          <w:tcPr>
            <w:tcW w:w="32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4807303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Hogyan érjük el a célokat?</w:t>
            </w:r>
          </w:p>
        </w:tc>
        <w:tc>
          <w:tcPr>
            <w:tcW w:w="27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EC902B3" w14:textId="77777777" w:rsidR="00E07C35" w:rsidRPr="00FF71CE" w:rsidRDefault="005B2781">
            <w:pPr>
              <w:rPr>
                <w:rFonts w:ascii="Open Sans" w:hAnsi="Open Sans" w:cs="Open Sans"/>
              </w:rPr>
            </w:pPr>
            <w:r w:rsidRPr="00FF71CE">
              <w:rPr>
                <w:rFonts w:ascii="Open Sans" w:hAnsi="Open Sans" w:cs="Open Sans"/>
                <w:sz w:val="20"/>
                <w:szCs w:val="20"/>
              </w:rPr>
              <w:t>Stratégiai cselekvési terv</w:t>
            </w:r>
          </w:p>
        </w:tc>
      </w:tr>
    </w:tbl>
    <w:p w14:paraId="56BAC5E3" w14:textId="77777777" w:rsidR="00E07C35" w:rsidRPr="00FF71CE" w:rsidRDefault="00E07C35">
      <w:pPr>
        <w:spacing w:after="240"/>
        <w:rPr>
          <w:rFonts w:ascii="Open Sans" w:hAnsi="Open Sans" w:cs="Open Sans"/>
        </w:rPr>
      </w:pPr>
    </w:p>
    <w:p w14:paraId="5646809C" w14:textId="77777777" w:rsidR="00E07C35" w:rsidRPr="00FF71CE" w:rsidRDefault="005B2781">
      <w:pPr>
        <w:spacing w:after="120" w:line="300" w:lineRule="auto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 xml:space="preserve">A sorrend logikája: érintett nélkül nincs értelmes lényegességi vizsgálat; lényegesség nélkül a kockázatelemzés szétfolyik; kockázatok és hiányok ismerete nélkül a cél csak jókívánság; célok nélkül a stratégia megvalósíthatatlan. A GAP-analízist és a kettős lényegességi elemzést </w:t>
      </w:r>
      <w:r w:rsidRPr="00FF71CE">
        <w:rPr>
          <w:rFonts w:ascii="Open Sans" w:hAnsi="Open Sans" w:cs="Open Sans"/>
        </w:rPr>
        <w:lastRenderedPageBreak/>
        <w:t>célszerű párhuzamosan végezni, mert egymást megtermékenyítik: a hiányok rámutathatnak lényeges témákra, és a lényeges témák újra megvizsgáltatják velünk a hiányokat.</w:t>
      </w:r>
    </w:p>
    <w:p w14:paraId="69C0D722" w14:textId="77777777" w:rsidR="00E07C35" w:rsidRPr="00FF71CE" w:rsidRDefault="005B2781" w:rsidP="3BAE7B0F">
      <w:pPr>
        <w:pStyle w:val="Cmsor1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t>3. A sablonok bemutatása</w:t>
      </w:r>
    </w:p>
    <w:p w14:paraId="260A13DC" w14:textId="77777777" w:rsidR="00E07C35" w:rsidRPr="00FF71CE" w:rsidRDefault="005B2781">
      <w:pPr>
        <w:spacing w:after="120" w:line="300" w:lineRule="auto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Az alábbiakban a hat eszköz egy-egy rövid leírása található. Minden leírás három elemet rögzít: a sablon célját, a kitöltéshez szükséges bemeneteket, valamint a várható kimenetet.</w:t>
      </w:r>
    </w:p>
    <w:p w14:paraId="6BA8B6F6" w14:textId="170EAF30" w:rsidR="00E07C35" w:rsidRPr="00FF71CE" w:rsidRDefault="005B2781" w:rsidP="3BAE7B0F">
      <w:pPr>
        <w:pStyle w:val="Cmsor2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t>3.1. Érintetti térkép</w:t>
      </w:r>
      <w:r w:rsidR="00EB163B" w:rsidRPr="00FF71CE">
        <w:rPr>
          <w:rFonts w:ascii="Open Sans" w:hAnsi="Open Sans" w:cs="Open Sans"/>
          <w:color w:val="196B24" w:themeColor="accent3"/>
        </w:rPr>
        <w:t xml:space="preserve"> (Stakeholder elemzés)</w:t>
      </w:r>
    </w:p>
    <w:p w14:paraId="427FE59E" w14:textId="3039DD78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Cél: </w:t>
      </w:r>
      <w:r w:rsidRPr="00FF71CE">
        <w:rPr>
          <w:rFonts w:ascii="Open Sans" w:hAnsi="Open Sans" w:cs="Open Sans"/>
        </w:rPr>
        <w:t>A vállalkozás belső és külső érintettjeinek (stakeholder-einek) azonosítása, típus szerinti csoportosítása, valamint érdeklődésük és befolyásuk mértékének egyszerű, kétdimenziós értékelése. Az eszköz eredménye egy érdeklődés–befolyás mátrix, amely négy kategóriába sorolja az érintetteket, ezzel priorizálja a velük való foglalkozás módját és intenzitását.</w:t>
      </w:r>
    </w:p>
    <w:p w14:paraId="3F98A7C1" w14:textId="77777777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Szükséges bemenetek: </w:t>
      </w:r>
      <w:r w:rsidRPr="00FF71CE">
        <w:rPr>
          <w:rFonts w:ascii="Open Sans" w:hAnsi="Open Sans" w:cs="Open Sans"/>
        </w:rPr>
        <w:t>a vállalkozás tulajdonosi és szervezeti struktúrája, fontosabb üzleti partnerei (vevők, beszállítók, szolgáltatók, pénzügyi intézmények), szabályozói és érdekképviseleti környezete, valamint tágabb társadalmi érintettjei (közösség, média, NGO-k).</w:t>
      </w:r>
    </w:p>
    <w:p w14:paraId="5E686A48" w14:textId="77777777" w:rsidR="00E07C35" w:rsidRPr="00FF71CE" w:rsidRDefault="005B2781">
      <w:pPr>
        <w:spacing w:after="24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Kimenet: </w:t>
      </w:r>
      <w:r w:rsidRPr="00FF71CE">
        <w:rPr>
          <w:rFonts w:ascii="Open Sans" w:hAnsi="Open Sans" w:cs="Open Sans"/>
        </w:rPr>
        <w:t>kategorizált érintetti lista, amely kiindulási alap a kettős lényegességi elemzéshez és a későbbi érintetti bevonáshoz (párbeszéd, kérdőívezés, konzultáció).</w:t>
      </w:r>
    </w:p>
    <w:p w14:paraId="66C23DD2" w14:textId="77777777" w:rsidR="00E07C35" w:rsidRPr="00FF71CE" w:rsidRDefault="005B2781" w:rsidP="3BAE7B0F">
      <w:pPr>
        <w:pStyle w:val="Cmsor2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t>3.2. GAP-analízis (hiányelemzés)</w:t>
      </w:r>
    </w:p>
    <w:p w14:paraId="44CA902F" w14:textId="77777777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Cél: </w:t>
      </w:r>
      <w:r w:rsidRPr="00FF71CE">
        <w:rPr>
          <w:rFonts w:ascii="Open Sans" w:hAnsi="Open Sans" w:cs="Open Sans"/>
        </w:rPr>
        <w:t>A vállalkozás jelenlegi ESG-teljesítményének és gyakorlatainak összevetése a kívánt állapottal — legyen az jogszabályi elvárás, ágazati benchmark vagy belső ambíció. A hiányok azonosítása után az eszköz támogatja a javasolt teendők, a nyomon követés és a várható következtetés rögzítését.</w:t>
      </w:r>
    </w:p>
    <w:p w14:paraId="2A0A2E52" w14:textId="4B1561FB" w:rsidR="00E07C35" w:rsidRPr="00FF71CE" w:rsidRDefault="00FF71CE">
      <w:pPr>
        <w:spacing w:after="120"/>
        <w:jc w:val="both"/>
        <w:rPr>
          <w:rFonts w:ascii="Open Sans" w:hAnsi="Open Sans" w:cs="Open Sans"/>
        </w:rPr>
      </w:pPr>
      <w:r>
        <w:rPr>
          <w:rFonts w:ascii="Open Sans" w:hAnsi="Open Sans" w:cs="Open Sans"/>
          <w:b/>
          <w:bCs/>
        </w:rPr>
        <w:t xml:space="preserve">Szükséges </w:t>
      </w:r>
      <w:r w:rsidR="005B2781" w:rsidRPr="00FF71CE">
        <w:rPr>
          <w:rFonts w:ascii="Open Sans" w:hAnsi="Open Sans" w:cs="Open Sans"/>
          <w:b/>
          <w:bCs/>
        </w:rPr>
        <w:t xml:space="preserve">bemenetek: </w:t>
      </w:r>
      <w:r w:rsidR="005B2781" w:rsidRPr="00FF71CE">
        <w:rPr>
          <w:rFonts w:ascii="Open Sans" w:hAnsi="Open Sans" w:cs="Open Sans"/>
        </w:rPr>
        <w:t>releváns ESG- és működési területek listája (pl. hulladékgazdálkodás, energia, munkaegészség, adatkezelés, beszerzés), ezek jelenlegi gyakorlatának leírása, valamint a viszonyítási pont (jogszabály, szabvány, iparági gyakorlat, belső cél).</w:t>
      </w:r>
    </w:p>
    <w:p w14:paraId="639FD20F" w14:textId="77777777" w:rsidR="00E07C35" w:rsidRPr="00FF71CE" w:rsidRDefault="005B2781">
      <w:pPr>
        <w:spacing w:after="24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Kimenet: </w:t>
      </w:r>
      <w:r w:rsidRPr="00FF71CE">
        <w:rPr>
          <w:rFonts w:ascii="Open Sans" w:hAnsi="Open Sans" w:cs="Open Sans"/>
        </w:rPr>
        <w:t>strukturált hiányleltár, amely közvetlenül tápot ad mind a kockázatelemzésnek, mind a célmeghatározásnak.</w:t>
      </w:r>
    </w:p>
    <w:p w14:paraId="054A743A" w14:textId="77777777" w:rsidR="00E07C35" w:rsidRPr="00FF71CE" w:rsidRDefault="005B2781" w:rsidP="3BAE7B0F">
      <w:pPr>
        <w:pStyle w:val="Cmsor2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t>3.3. Kettős lényegességi elemzés</w:t>
      </w:r>
    </w:p>
    <w:p w14:paraId="14598254" w14:textId="77777777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Cél: </w:t>
      </w:r>
      <w:r w:rsidRPr="00FF71CE">
        <w:rPr>
          <w:rFonts w:ascii="Open Sans" w:hAnsi="Open Sans" w:cs="Open Sans"/>
        </w:rPr>
        <w:t>Annak meghatározása, mely fenntarthatósági témák lényegesek a vállalkozás szempontjából. Az elemzés két irányban vizsgálja a lényegességet: (i) hatáslényegesség — milyen hatással van a vállalkozás a környezetére és a társadalomra (inside-out), és (ii) pénzügyi lényegesség — milyen pénzügyi következménye lehet a vállalkozásra a fenntarthatósági kérdéseknek (outside-in). A sablon az EFRAG módszertanát követi, és négy szakaszra tagolja a folyamatot: kontextus, azonosítás, értékelés, riportálás.</w:t>
      </w:r>
    </w:p>
    <w:p w14:paraId="48E99F44" w14:textId="77777777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Szükséges bemenetek: </w:t>
      </w:r>
      <w:r w:rsidRPr="00FF71CE">
        <w:rPr>
          <w:rFonts w:ascii="Open Sans" w:hAnsi="Open Sans" w:cs="Open Sans"/>
        </w:rPr>
        <w:t>az értéklánc felépítése (upstream, saját működés, downstream), az érintetti térkép kimenete, valamint a vállalkozás által kezdetben releváns ESG-témák hosszúlistája.</w:t>
      </w:r>
    </w:p>
    <w:p w14:paraId="458FC9DF" w14:textId="77777777" w:rsidR="00E07C35" w:rsidRPr="00FF71CE" w:rsidRDefault="005B2781">
      <w:pPr>
        <w:spacing w:after="24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Kimenet: </w:t>
      </w:r>
      <w:r w:rsidRPr="00FF71CE">
        <w:rPr>
          <w:rFonts w:ascii="Open Sans" w:hAnsi="Open Sans" w:cs="Open Sans"/>
        </w:rPr>
        <w:t>a lényeges ESG-témák rövid listája, amely a beszámolás és a stratégiaalkotás alapját képezi. Megjegyzés: a részletes pontozási és küszöbérték-módszertan szakmai támogatást igényel, ez a sablon csak a strukturális keretet rögzíti.</w:t>
      </w:r>
    </w:p>
    <w:p w14:paraId="38404581" w14:textId="77777777" w:rsidR="00E07C35" w:rsidRPr="00FF71CE" w:rsidRDefault="005B2781" w:rsidP="3BAE7B0F">
      <w:pPr>
        <w:pStyle w:val="Cmsor2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lastRenderedPageBreak/>
        <w:t>3.4. Kockázatelemzés</w:t>
      </w:r>
    </w:p>
    <w:p w14:paraId="14B7495F" w14:textId="77777777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Cél: </w:t>
      </w:r>
      <w:r w:rsidRPr="00FF71CE">
        <w:rPr>
          <w:rFonts w:ascii="Open Sans" w:hAnsi="Open Sans" w:cs="Open Sans"/>
        </w:rPr>
        <w:t>A vállalkozást érintő ESG-kockázatok (környezeti, társadalmi, irányítási) strukturált regiszterének felépítése. A sablon minden kockázathoz bekövetkezési valószínűséget (1–5) és hatás-súlyosságot (1–5) rendel, az összesített kockázati szint pedig automatikusan számolódik (valószínűség × hatás). A rendszer ezen túl rögzíti a megelőző és reagáló intézkedéseket, a felelőst és a határidőt.</w:t>
      </w:r>
    </w:p>
    <w:p w14:paraId="56867D61" w14:textId="77777777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Szükséges bemenetek: </w:t>
      </w:r>
      <w:r w:rsidRPr="00FF71CE">
        <w:rPr>
          <w:rFonts w:ascii="Open Sans" w:hAnsi="Open Sans" w:cs="Open Sans"/>
        </w:rPr>
        <w:t>a lényeges ESG-témák listája (a kettős lényegességi elemzés kimenete), a GAP-analízisben azonosított hiányterületek, valamint a saját működés és értéklánc ismerete.</w:t>
      </w:r>
    </w:p>
    <w:p w14:paraId="0084D11A" w14:textId="77777777" w:rsidR="00E07C35" w:rsidRPr="00FF71CE" w:rsidRDefault="005B2781">
      <w:pPr>
        <w:spacing w:after="24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Kimenet: </w:t>
      </w:r>
      <w:r w:rsidRPr="00FF71CE">
        <w:rPr>
          <w:rFonts w:ascii="Open Sans" w:hAnsi="Open Sans" w:cs="Open Sans"/>
        </w:rPr>
        <w:t>priorizált kockázati regiszter, amely közvetlen bemenete a célmeghatározásnak és a stratégiának.</w:t>
      </w:r>
    </w:p>
    <w:p w14:paraId="02568447" w14:textId="77777777" w:rsidR="00E07C35" w:rsidRPr="00FF71CE" w:rsidRDefault="005B2781" w:rsidP="3BAE7B0F">
      <w:pPr>
        <w:pStyle w:val="Cmsor2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t>3.5. Célmeghatározás</w:t>
      </w:r>
    </w:p>
    <w:p w14:paraId="4C1D4341" w14:textId="77777777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Cél: </w:t>
      </w:r>
      <w:r w:rsidRPr="00FF71CE">
        <w:rPr>
          <w:rFonts w:ascii="Open Sans" w:hAnsi="Open Sans" w:cs="Open Sans"/>
        </w:rPr>
        <w:t>A lényeges ESG-témákhoz kapcsolódó, mérhető és időzített célok rögzítése SMART-logika szerint. A sablon három időhorizontot különít el (rövid, közép- és hosszú távú cél), és minden célhoz tartozik egy bázisérték, egy konkrét mutató (KPI), a mérés gyakorisága és a felelős szervezet vagy személy.</w:t>
      </w:r>
    </w:p>
    <w:p w14:paraId="19A9E114" w14:textId="77777777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Szükséges bemenetek: </w:t>
      </w:r>
      <w:r w:rsidRPr="00FF71CE">
        <w:rPr>
          <w:rFonts w:ascii="Open Sans" w:hAnsi="Open Sans" w:cs="Open Sans"/>
        </w:rPr>
        <w:t>a kockázatelemzés és a GAP-analízis eredményei, a lényeges ESG-témák listája, valamint a vállalkozás által már gyűjtött fenntarthatósági adatok (bázisértékekhez).</w:t>
      </w:r>
    </w:p>
    <w:p w14:paraId="252C79EF" w14:textId="77777777" w:rsidR="00E07C35" w:rsidRPr="00FF71CE" w:rsidRDefault="005B2781">
      <w:pPr>
        <w:spacing w:after="24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Kimenet: </w:t>
      </w:r>
      <w:r w:rsidRPr="00FF71CE">
        <w:rPr>
          <w:rFonts w:ascii="Open Sans" w:hAnsi="Open Sans" w:cs="Open Sans"/>
        </w:rPr>
        <w:t>konkrét, mérhető célrendszer, amely a stratégia alapja és egyben a nyomon követés kerete.</w:t>
      </w:r>
    </w:p>
    <w:p w14:paraId="364E8C1C" w14:textId="77777777" w:rsidR="00E07C35" w:rsidRPr="00FF71CE" w:rsidRDefault="005B2781" w:rsidP="3BAE7B0F">
      <w:pPr>
        <w:pStyle w:val="Cmsor2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t>3.6. Stratégia</w:t>
      </w:r>
    </w:p>
    <w:p w14:paraId="7E61D02E" w14:textId="77777777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Cél: </w:t>
      </w:r>
      <w:r w:rsidRPr="00FF71CE">
        <w:rPr>
          <w:rFonts w:ascii="Open Sans" w:hAnsi="Open Sans" w:cs="Open Sans"/>
        </w:rPr>
        <w:t>A célok eléréséhez szükséges cselekvések összefoglalása egy strukturált ESG-stratégiai keretben. A sablon minden stratégiai célhoz rögzíti a pillért (E/S/G), a kulcsintézkedéseket, a kapcsolódó KPI-okat, az erőforrásigényt, a felelős szervezeti egységet és az éves mérföldköveket.</w:t>
      </w:r>
    </w:p>
    <w:p w14:paraId="097C75E4" w14:textId="77777777" w:rsidR="00E07C35" w:rsidRPr="00FF71CE" w:rsidRDefault="005B2781">
      <w:pPr>
        <w:spacing w:after="12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Szükséges bemenetek: </w:t>
      </w:r>
      <w:r w:rsidRPr="00FF71CE">
        <w:rPr>
          <w:rFonts w:ascii="Open Sans" w:hAnsi="Open Sans" w:cs="Open Sans"/>
        </w:rPr>
        <w:t>a célmeghatározás eredménye, a kockázati regiszter, a vezetői döntések az erőforrás-allokációról, valamint a szervezeti felelősségi rend.</w:t>
      </w:r>
    </w:p>
    <w:p w14:paraId="06C36501" w14:textId="77777777" w:rsidR="00E07C35" w:rsidRPr="00FF71CE" w:rsidRDefault="005B2781">
      <w:pPr>
        <w:spacing w:after="240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  <w:b/>
          <w:bCs/>
        </w:rPr>
        <w:t xml:space="preserve">Kimenet: </w:t>
      </w:r>
      <w:r w:rsidRPr="00FF71CE">
        <w:rPr>
          <w:rFonts w:ascii="Open Sans" w:hAnsi="Open Sans" w:cs="Open Sans"/>
        </w:rPr>
        <w:t>3–5 éves fenntarthatósági cselekvési terv, amely megalapozza a belső felelősségvállalási rendszert és a rendszeres ESG-beszámolást.</w:t>
      </w:r>
    </w:p>
    <w:p w14:paraId="11067B2F" w14:textId="77777777" w:rsidR="00E07C35" w:rsidRPr="00FF71CE" w:rsidRDefault="005B2781" w:rsidP="3BAE7B0F">
      <w:pPr>
        <w:pStyle w:val="Cmsor1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t>4. Használati javaslatok</w:t>
      </w:r>
    </w:p>
    <w:p w14:paraId="40B066CF" w14:textId="77777777" w:rsidR="00E07C35" w:rsidRPr="00FF71CE" w:rsidRDefault="005B2781">
      <w:pPr>
        <w:spacing w:after="120" w:line="300" w:lineRule="auto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A sablonok önállóan, egyszerű Excel-ismerettel kitölthetők. Néhány gyakorlati szempont a hatékony használathoz:</w:t>
      </w:r>
    </w:p>
    <w:p w14:paraId="4A64D789" w14:textId="77777777" w:rsidR="00E07C35" w:rsidRPr="00FF71CE" w:rsidRDefault="005B2781">
      <w:pPr>
        <w:pStyle w:val="Listaszerbekezds"/>
        <w:numPr>
          <w:ilvl w:val="0"/>
          <w:numId w:val="2"/>
        </w:numPr>
        <w:spacing w:after="80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Az eszközöket a megadott sorrendben érdemes alkalmazni; a fájlnevek elején található sorszám (01–06) ezt jelöli.</w:t>
      </w:r>
    </w:p>
    <w:p w14:paraId="19AD6F6D" w14:textId="77777777" w:rsidR="00E07C35" w:rsidRPr="00FF71CE" w:rsidRDefault="005B2781">
      <w:pPr>
        <w:pStyle w:val="Listaszerbekezds"/>
        <w:numPr>
          <w:ilvl w:val="0"/>
          <w:numId w:val="2"/>
        </w:numPr>
        <w:spacing w:after="80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Minden sablon első munkalapja („Útmutató”) röviden ismerteti az adott eszköz célját, a szükséges bemeneteket és a kitöltési logikát.</w:t>
      </w:r>
    </w:p>
    <w:p w14:paraId="2D98551B" w14:textId="77777777" w:rsidR="00E07C35" w:rsidRPr="00FF71CE" w:rsidRDefault="005B2781">
      <w:pPr>
        <w:pStyle w:val="Listaszerbekezds"/>
        <w:numPr>
          <w:ilvl w:val="0"/>
          <w:numId w:val="2"/>
        </w:numPr>
        <w:spacing w:after="80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A „Példa” munkalapon egy kitöltött mintasor segíti az értelmezést; érdemes először ezt áttekinteni.</w:t>
      </w:r>
    </w:p>
    <w:p w14:paraId="4805C29A" w14:textId="77777777" w:rsidR="00E07C35" w:rsidRPr="00FF71CE" w:rsidRDefault="005B2781">
      <w:pPr>
        <w:pStyle w:val="Listaszerbekezds"/>
        <w:numPr>
          <w:ilvl w:val="0"/>
          <w:numId w:val="2"/>
        </w:numPr>
        <w:spacing w:after="80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lastRenderedPageBreak/>
        <w:t>Az alapértelmezett 20 kitölthető sor a legtöbb KKV-indulópont számára elegendő; nagyobb méret szükség esetén további sorok másolással bővíthetők, de ez már nagyobb szervezeti érettséget feltételez.</w:t>
      </w:r>
    </w:p>
    <w:p w14:paraId="200766F6" w14:textId="77777777" w:rsidR="00E07C35" w:rsidRPr="00FF71CE" w:rsidRDefault="005B2781">
      <w:pPr>
        <w:pStyle w:val="Listaszerbekezds"/>
        <w:numPr>
          <w:ilvl w:val="0"/>
          <w:numId w:val="2"/>
        </w:numPr>
        <w:spacing w:after="80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A kitöltést érdemes vezetői szinten elindítani és szakmai felelősökkel közösen finomítani; az érintetti térképet és a kettős lényegességi elemzést nem célszerű egyetlen személyre bízni.</w:t>
      </w:r>
    </w:p>
    <w:p w14:paraId="5705BD1D" w14:textId="77777777" w:rsidR="00E07C35" w:rsidRPr="00FF71CE" w:rsidRDefault="005B2781" w:rsidP="1EA9F10B">
      <w:pPr>
        <w:pStyle w:val="Cmsor1"/>
        <w:rPr>
          <w:rFonts w:ascii="Open Sans" w:hAnsi="Open Sans" w:cs="Open Sans"/>
          <w:color w:val="196B24" w:themeColor="accent3"/>
        </w:rPr>
      </w:pPr>
      <w:r w:rsidRPr="00FF71CE">
        <w:rPr>
          <w:rFonts w:ascii="Open Sans" w:hAnsi="Open Sans" w:cs="Open Sans"/>
          <w:color w:val="196B24" w:themeColor="accent3"/>
        </w:rPr>
        <w:t>5. Mikor érdemes szakmai támogatást igénybe venni</w:t>
      </w:r>
    </w:p>
    <w:p w14:paraId="1234E1E5" w14:textId="77777777" w:rsidR="00E07C35" w:rsidRPr="00FF71CE" w:rsidRDefault="005B2781">
      <w:pPr>
        <w:spacing w:after="120" w:line="300" w:lineRule="auto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Az eszköztár tudatosan általános keretet ad — célja az alapvető felkészülés és fogalmi tájékozódás támogatása. Az alábbi esetekben azonban a sablonok önmagukban nem elegendőek, és szakmai konzultáció, illetve részletes módszertan bevonása javasolt:</w:t>
      </w:r>
    </w:p>
    <w:p w14:paraId="11CAD84C" w14:textId="77777777" w:rsidR="00E07C35" w:rsidRPr="00FF71CE" w:rsidRDefault="005B2781">
      <w:pPr>
        <w:pStyle w:val="Listaszerbekezds"/>
        <w:numPr>
          <w:ilvl w:val="0"/>
          <w:numId w:val="2"/>
        </w:numPr>
        <w:spacing w:after="80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Ha a vállalkozás az ESG törvény hatálya alá tartozik, és kötelező fenntarthatósági beszámolót készít (ekkor a SZTFH-kérdőív kitöltése és az EFRAG-ESRS adatpontokhoz való illesztés szükséges).</w:t>
      </w:r>
    </w:p>
    <w:p w14:paraId="2DD8A7BD" w14:textId="77777777" w:rsidR="00E07C35" w:rsidRPr="00FF71CE" w:rsidRDefault="005B2781">
      <w:pPr>
        <w:pStyle w:val="Listaszerbekezds"/>
        <w:numPr>
          <w:ilvl w:val="0"/>
          <w:numId w:val="2"/>
        </w:numPr>
        <w:spacing w:after="80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Ha a kettős lényegességi elemzést számszerű küszöbértékekkel, súlyozással, érintetti egyeztetéssel kell elvégezni — ez meghaladja a sablon keretét.</w:t>
      </w:r>
    </w:p>
    <w:p w14:paraId="6BA7C61D" w14:textId="77777777" w:rsidR="00E07C35" w:rsidRPr="00FF71CE" w:rsidRDefault="005B2781">
      <w:pPr>
        <w:pStyle w:val="Listaszerbekezds"/>
        <w:numPr>
          <w:ilvl w:val="0"/>
          <w:numId w:val="2"/>
        </w:numPr>
        <w:spacing w:after="80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Ha a beszállítói átvilágítás (due diligence) kétszintű folyamatát kell felépíteni, ideértve a beszállítói kérdőívezést és a kockázatalapú kategorizálást.</w:t>
      </w:r>
    </w:p>
    <w:p w14:paraId="1E68392E" w14:textId="77777777" w:rsidR="00E07C35" w:rsidRPr="00FF71CE" w:rsidRDefault="005B2781">
      <w:pPr>
        <w:pStyle w:val="Listaszerbekezds"/>
        <w:numPr>
          <w:ilvl w:val="0"/>
          <w:numId w:val="2"/>
        </w:numPr>
        <w:spacing w:after="80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Ha a szervezetben belső felelősségvállalási rendszert, panaszkezelési rendszert vagy formális kockázatkezelési szabályzatot kell kialakítani a jogszabályi előírásoknak megfelelően.</w:t>
      </w:r>
    </w:p>
    <w:p w14:paraId="1F6649E4" w14:textId="77777777" w:rsidR="00E07C35" w:rsidRPr="00FF71CE" w:rsidRDefault="005B2781">
      <w:pPr>
        <w:pStyle w:val="Listaszerbekezds"/>
        <w:numPr>
          <w:ilvl w:val="0"/>
          <w:numId w:val="2"/>
        </w:numPr>
        <w:spacing w:after="80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Ha a gyűjtött adatok auditra alkalmas formában, dokumentált evidenciákkal kell rendelkezésre álljanak.</w:t>
      </w:r>
    </w:p>
    <w:p w14:paraId="2CEC749E" w14:textId="53607109" w:rsidR="00E07C35" w:rsidRPr="00FF71CE" w:rsidRDefault="005B2781" w:rsidP="00FF71CE">
      <w:pPr>
        <w:spacing w:after="120" w:line="300" w:lineRule="auto"/>
        <w:jc w:val="both"/>
        <w:rPr>
          <w:rFonts w:ascii="Open Sans" w:hAnsi="Open Sans" w:cs="Open Sans"/>
        </w:rPr>
      </w:pPr>
      <w:r w:rsidRPr="00FF71CE">
        <w:rPr>
          <w:rFonts w:ascii="Open Sans" w:hAnsi="Open Sans" w:cs="Open Sans"/>
        </w:rPr>
        <w:t>Ezekben az esetekben a sablonokból kinyert adatok és kimenetek értékes kiindulási alapot jelentenek egy részletes tanácsadási folyamathoz — a saját munka nem vész el, hanem beépül a mélyebb elemzésbe.</w:t>
      </w:r>
    </w:p>
    <w:sectPr w:rsidR="00E07C35" w:rsidRPr="00FF71C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A04AAF" w14:textId="77777777" w:rsidR="00CE275E" w:rsidRDefault="00CE275E">
      <w:r>
        <w:separator/>
      </w:r>
    </w:p>
  </w:endnote>
  <w:endnote w:type="continuationSeparator" w:id="0">
    <w:p w14:paraId="2446FB97" w14:textId="77777777" w:rsidR="00CE275E" w:rsidRDefault="00CE2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P Gatwick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F4A0D" w14:textId="1CDD1AE7" w:rsidR="00E07C35" w:rsidRDefault="005B2781">
    <w:pPr>
      <w:jc w:val="center"/>
    </w:pP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PAGE</w:instrText>
    </w:r>
    <w:r>
      <w:rPr>
        <w:color w:val="595959"/>
        <w:sz w:val="18"/>
        <w:szCs w:val="18"/>
      </w:rPr>
      <w:fldChar w:fldCharType="separate"/>
    </w:r>
    <w:r w:rsidR="00866922">
      <w:rPr>
        <w:noProof/>
        <w:color w:val="595959"/>
        <w:sz w:val="18"/>
        <w:szCs w:val="18"/>
      </w:rPr>
      <w:t>4</w:t>
    </w:r>
    <w:r>
      <w:rPr>
        <w:color w:val="595959"/>
        <w:sz w:val="18"/>
        <w:szCs w:val="18"/>
      </w:rPr>
      <w:fldChar w:fldCharType="end"/>
    </w:r>
    <w:r>
      <w:rPr>
        <w:color w:val="595959"/>
        <w:sz w:val="18"/>
        <w:szCs w:val="18"/>
      </w:rPr>
      <w:t xml:space="preserve"> / </w:t>
    </w: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NUMPAGES</w:instrText>
    </w:r>
    <w:r>
      <w:rPr>
        <w:color w:val="595959"/>
        <w:sz w:val="18"/>
        <w:szCs w:val="18"/>
      </w:rPr>
      <w:fldChar w:fldCharType="separate"/>
    </w:r>
    <w:r w:rsidR="00866922">
      <w:rPr>
        <w:noProof/>
        <w:color w:val="595959"/>
        <w:sz w:val="18"/>
        <w:szCs w:val="18"/>
      </w:rPr>
      <w:t>4</w:t>
    </w:r>
    <w:r>
      <w:rPr>
        <w:color w:val="595959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131C98" w14:textId="77777777" w:rsidR="00CE275E" w:rsidRDefault="00CE275E">
      <w:r>
        <w:separator/>
      </w:r>
    </w:p>
  </w:footnote>
  <w:footnote w:type="continuationSeparator" w:id="0">
    <w:p w14:paraId="6AEB2252" w14:textId="77777777" w:rsidR="00CE275E" w:rsidRDefault="00CE27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803E4" w14:textId="77777777" w:rsidR="00E07C35" w:rsidRDefault="005B2781">
    <w:pPr>
      <w:jc w:val="right"/>
    </w:pPr>
    <w:r>
      <w:rPr>
        <w:i/>
        <w:iCs/>
        <w:color w:val="595959"/>
        <w:sz w:val="18"/>
        <w:szCs w:val="18"/>
      </w:rPr>
      <w:t>ESG Eszköztár – Útmutató KKV-k részére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DA3C95"/>
    <w:multiLevelType w:val="hybridMultilevel"/>
    <w:tmpl w:val="D1C61282"/>
    <w:lvl w:ilvl="0" w:tplc="7C6E2F5A">
      <w:start w:val="1"/>
      <w:numFmt w:val="bullet"/>
      <w:lvlText w:val="•"/>
      <w:lvlJc w:val="left"/>
      <w:pPr>
        <w:ind w:left="720" w:hanging="360"/>
      </w:pPr>
    </w:lvl>
    <w:lvl w:ilvl="1" w:tplc="FD0E9524">
      <w:numFmt w:val="decimal"/>
      <w:lvlText w:val=""/>
      <w:lvlJc w:val="left"/>
    </w:lvl>
    <w:lvl w:ilvl="2" w:tplc="F07C84CA">
      <w:numFmt w:val="decimal"/>
      <w:lvlText w:val=""/>
      <w:lvlJc w:val="left"/>
    </w:lvl>
    <w:lvl w:ilvl="3" w:tplc="A75282D2">
      <w:numFmt w:val="decimal"/>
      <w:lvlText w:val=""/>
      <w:lvlJc w:val="left"/>
    </w:lvl>
    <w:lvl w:ilvl="4" w:tplc="57560DB2">
      <w:numFmt w:val="decimal"/>
      <w:lvlText w:val=""/>
      <w:lvlJc w:val="left"/>
    </w:lvl>
    <w:lvl w:ilvl="5" w:tplc="E7F6768C">
      <w:numFmt w:val="decimal"/>
      <w:lvlText w:val=""/>
      <w:lvlJc w:val="left"/>
    </w:lvl>
    <w:lvl w:ilvl="6" w:tplc="711A4D94">
      <w:numFmt w:val="decimal"/>
      <w:lvlText w:val=""/>
      <w:lvlJc w:val="left"/>
    </w:lvl>
    <w:lvl w:ilvl="7" w:tplc="75EC5E34">
      <w:numFmt w:val="decimal"/>
      <w:lvlText w:val=""/>
      <w:lvlJc w:val="left"/>
    </w:lvl>
    <w:lvl w:ilvl="8" w:tplc="6F84A066">
      <w:numFmt w:val="decimal"/>
      <w:lvlText w:val=""/>
      <w:lvlJc w:val="left"/>
    </w:lvl>
  </w:abstractNum>
  <w:abstractNum w:abstractNumId="1" w15:restartNumberingAfterBreak="0">
    <w:nsid w:val="460D14E5"/>
    <w:multiLevelType w:val="hybridMultilevel"/>
    <w:tmpl w:val="EE223EB4"/>
    <w:lvl w:ilvl="0" w:tplc="0CA8CAD0">
      <w:start w:val="1"/>
      <w:numFmt w:val="bullet"/>
      <w:lvlText w:val="●"/>
      <w:lvlJc w:val="left"/>
      <w:pPr>
        <w:ind w:left="720" w:hanging="360"/>
      </w:pPr>
    </w:lvl>
    <w:lvl w:ilvl="1" w:tplc="30A0C0BA">
      <w:start w:val="1"/>
      <w:numFmt w:val="bullet"/>
      <w:lvlText w:val="○"/>
      <w:lvlJc w:val="left"/>
      <w:pPr>
        <w:ind w:left="1440" w:hanging="360"/>
      </w:pPr>
    </w:lvl>
    <w:lvl w:ilvl="2" w:tplc="2FD0B388">
      <w:start w:val="1"/>
      <w:numFmt w:val="bullet"/>
      <w:lvlText w:val="■"/>
      <w:lvlJc w:val="left"/>
      <w:pPr>
        <w:ind w:left="2160" w:hanging="360"/>
      </w:pPr>
    </w:lvl>
    <w:lvl w:ilvl="3" w:tplc="F7D8CDAC">
      <w:start w:val="1"/>
      <w:numFmt w:val="bullet"/>
      <w:lvlText w:val="●"/>
      <w:lvlJc w:val="left"/>
      <w:pPr>
        <w:ind w:left="2880" w:hanging="360"/>
      </w:pPr>
    </w:lvl>
    <w:lvl w:ilvl="4" w:tplc="D6FC04DA">
      <w:start w:val="1"/>
      <w:numFmt w:val="bullet"/>
      <w:lvlText w:val="○"/>
      <w:lvlJc w:val="left"/>
      <w:pPr>
        <w:ind w:left="3600" w:hanging="360"/>
      </w:pPr>
    </w:lvl>
    <w:lvl w:ilvl="5" w:tplc="99C249F2">
      <w:start w:val="1"/>
      <w:numFmt w:val="bullet"/>
      <w:lvlText w:val="■"/>
      <w:lvlJc w:val="left"/>
      <w:pPr>
        <w:ind w:left="4320" w:hanging="360"/>
      </w:pPr>
    </w:lvl>
    <w:lvl w:ilvl="6" w:tplc="3AB49DDA">
      <w:start w:val="1"/>
      <w:numFmt w:val="bullet"/>
      <w:lvlText w:val="●"/>
      <w:lvlJc w:val="left"/>
      <w:pPr>
        <w:ind w:left="5040" w:hanging="360"/>
      </w:pPr>
    </w:lvl>
    <w:lvl w:ilvl="7" w:tplc="2820B07E">
      <w:start w:val="1"/>
      <w:numFmt w:val="bullet"/>
      <w:lvlText w:val="●"/>
      <w:lvlJc w:val="left"/>
      <w:pPr>
        <w:ind w:left="5760" w:hanging="360"/>
      </w:pPr>
    </w:lvl>
    <w:lvl w:ilvl="8" w:tplc="483A378E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6386671E"/>
    <w:multiLevelType w:val="hybridMultilevel"/>
    <w:tmpl w:val="847C20EA"/>
    <w:lvl w:ilvl="0" w:tplc="09543708">
      <w:start w:val="1"/>
      <w:numFmt w:val="decimal"/>
      <w:lvlText w:val="%1."/>
      <w:lvlJc w:val="left"/>
      <w:pPr>
        <w:ind w:left="720" w:hanging="360"/>
      </w:pPr>
    </w:lvl>
    <w:lvl w:ilvl="1" w:tplc="7A00C780">
      <w:numFmt w:val="decimal"/>
      <w:lvlText w:val=""/>
      <w:lvlJc w:val="left"/>
    </w:lvl>
    <w:lvl w:ilvl="2" w:tplc="2D0455C8">
      <w:numFmt w:val="decimal"/>
      <w:lvlText w:val=""/>
      <w:lvlJc w:val="left"/>
    </w:lvl>
    <w:lvl w:ilvl="3" w:tplc="61A8EB96">
      <w:numFmt w:val="decimal"/>
      <w:lvlText w:val=""/>
      <w:lvlJc w:val="left"/>
    </w:lvl>
    <w:lvl w:ilvl="4" w:tplc="570E3E00">
      <w:numFmt w:val="decimal"/>
      <w:lvlText w:val=""/>
      <w:lvlJc w:val="left"/>
    </w:lvl>
    <w:lvl w:ilvl="5" w:tplc="DC92488A">
      <w:numFmt w:val="decimal"/>
      <w:lvlText w:val=""/>
      <w:lvlJc w:val="left"/>
    </w:lvl>
    <w:lvl w:ilvl="6" w:tplc="545A94BA">
      <w:numFmt w:val="decimal"/>
      <w:lvlText w:val=""/>
      <w:lvlJc w:val="left"/>
    </w:lvl>
    <w:lvl w:ilvl="7" w:tplc="06B6C3C2">
      <w:numFmt w:val="decimal"/>
      <w:lvlText w:val=""/>
      <w:lvlJc w:val="left"/>
    </w:lvl>
    <w:lvl w:ilvl="8" w:tplc="79BCC52C">
      <w:numFmt w:val="decimal"/>
      <w:lvlText w:val=""/>
      <w:lvlJc w:val="left"/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35"/>
    <w:rsid w:val="005B2781"/>
    <w:rsid w:val="00844B35"/>
    <w:rsid w:val="00866922"/>
    <w:rsid w:val="00CE275E"/>
    <w:rsid w:val="00DE6537"/>
    <w:rsid w:val="00E07C35"/>
    <w:rsid w:val="00EB163B"/>
    <w:rsid w:val="00EB5F1C"/>
    <w:rsid w:val="00FF71CE"/>
    <w:rsid w:val="1EA9F10B"/>
    <w:rsid w:val="3BAE7B0F"/>
    <w:rsid w:val="78D4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5C728"/>
  <w15:docId w15:val="{4AF88F36-BAB0-4E99-8E2F-E75AA5060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uiPriority w:val="9"/>
    <w:qFormat/>
    <w:pPr>
      <w:spacing w:before="360" w:after="200"/>
      <w:outlineLvl w:val="0"/>
    </w:pPr>
    <w:rPr>
      <w:b/>
      <w:bCs/>
      <w:color w:val="1F3864"/>
      <w:sz w:val="32"/>
      <w:szCs w:val="32"/>
    </w:rPr>
  </w:style>
  <w:style w:type="paragraph" w:styleId="Cmsor2">
    <w:name w:val="heading 2"/>
    <w:uiPriority w:val="9"/>
    <w:unhideWhenUsed/>
    <w:qFormat/>
    <w:pPr>
      <w:spacing w:before="240" w:after="120"/>
      <w:outlineLvl w:val="1"/>
    </w:pPr>
    <w:rPr>
      <w:b/>
      <w:bCs/>
      <w:color w:val="2E75B6"/>
      <w:sz w:val="26"/>
      <w:szCs w:val="26"/>
    </w:rPr>
  </w:style>
  <w:style w:type="paragraph" w:styleId="Cmsor3">
    <w:name w:val="heading 3"/>
    <w:uiPriority w:val="9"/>
    <w:semiHidden/>
    <w:unhideWhenUsed/>
    <w:qFormat/>
    <w:pPr>
      <w:spacing w:before="180" w:after="80"/>
      <w:outlineLvl w:val="2"/>
    </w:pPr>
    <w:rPr>
      <w:b/>
      <w:bCs/>
      <w:color w:val="1F3864"/>
    </w:rPr>
  </w:style>
  <w:style w:type="paragraph" w:styleId="Cmsor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Cmsor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Cmsor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aszerbekezds">
    <w:name w:val="List Paragraph"/>
    <w:qFormat/>
  </w:style>
  <w:style w:type="character" w:styleId="Hiperhivatkozs">
    <w:name w:val="Hyperlink"/>
    <w:uiPriority w:val="99"/>
    <w:unhideWhenUsed/>
    <w:rPr>
      <w:color w:val="0563C1"/>
      <w:u w:val="single"/>
    </w:rPr>
  </w:style>
  <w:style w:type="character" w:styleId="Lbjegyzet-hivatkozs">
    <w:name w:val="footnote reference"/>
    <w:uiPriority w:val="99"/>
    <w:semiHidden/>
    <w:unhideWhenUsed/>
    <w:rPr>
      <w:vertAlign w:val="superscript"/>
    </w:rPr>
  </w:style>
  <w:style w:type="paragraph" w:styleId="Lbjegyzetszveg">
    <w:name w:val="footnote text"/>
    <w:link w:val="LbjegyzetszvegChar"/>
    <w:uiPriority w:val="99"/>
    <w:semiHidden/>
    <w:unhideWhenUsed/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unhideWhenUsed/>
    <w:rPr>
      <w:sz w:val="20"/>
      <w:szCs w:val="20"/>
    </w:rPr>
  </w:style>
  <w:style w:type="character" w:styleId="Vgjegyzet-hivatkozs">
    <w:name w:val="endnote reference"/>
    <w:uiPriority w:val="99"/>
    <w:semiHidden/>
    <w:unhideWhenUsed/>
    <w:rPr>
      <w:vertAlign w:val="superscript"/>
    </w:rPr>
  </w:style>
  <w:style w:type="paragraph" w:styleId="Vgjegyzetszvege">
    <w:name w:val="endnote text"/>
    <w:link w:val="VgjegyzetszvegeChar"/>
    <w:uiPriority w:val="99"/>
    <w:semiHidden/>
    <w:unhideWhenUsed/>
    <w:rPr>
      <w:sz w:val="20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unhideWhenUsed/>
    <w:rPr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FF71C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F71CE"/>
  </w:style>
  <w:style w:type="paragraph" w:styleId="llb">
    <w:name w:val="footer"/>
    <w:basedOn w:val="Norml"/>
    <w:link w:val="llbChar"/>
    <w:uiPriority w:val="99"/>
    <w:unhideWhenUsed/>
    <w:rsid w:val="00FF71C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F71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c2c289-3bfc-4821-b5f2-f3a08a52b552">
      <Terms xmlns="http://schemas.microsoft.com/office/infopath/2007/PartnerControls"/>
    </lcf76f155ced4ddcb4097134ff3c332f>
    <TaxCatchAll xmlns="7433a74e-7d35-45a9-a573-fae7c6a4bf8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5C1425ABD35F74CA00541DC729FAB77" ma:contentTypeVersion="11" ma:contentTypeDescription="Új dokumentum létrehozása." ma:contentTypeScope="" ma:versionID="0a9469c59d628d2375199f65fcbb77ad">
  <xsd:schema xmlns:xsd="http://www.w3.org/2001/XMLSchema" xmlns:xs="http://www.w3.org/2001/XMLSchema" xmlns:p="http://schemas.microsoft.com/office/2006/metadata/properties" xmlns:ns2="cbc2c289-3bfc-4821-b5f2-f3a08a52b552" xmlns:ns3="7433a74e-7d35-45a9-a573-fae7c6a4bf86" targetNamespace="http://schemas.microsoft.com/office/2006/metadata/properties" ma:root="true" ma:fieldsID="ca09b289c4519b1edb3a51e304f9402e" ns2:_="" ns3:_="">
    <xsd:import namespace="cbc2c289-3bfc-4821-b5f2-f3a08a52b552"/>
    <xsd:import namespace="7433a74e-7d35-45a9-a573-fae7c6a4bf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c2c289-3bfc-4821-b5f2-f3a08a52b5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Képcímkék" ma:readOnly="false" ma:fieldId="{5cf76f15-5ced-4ddc-b409-7134ff3c332f}" ma:taxonomyMulti="true" ma:sspId="83ebcbe8-05a8-48bb-8589-9f0c83cf01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3a74e-7d35-45a9-a573-fae7c6a4bf8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0959dfa-247b-4d36-bba4-25a0f4823e5a}" ma:internalName="TaxCatchAll" ma:showField="CatchAllData" ma:web="7433a74e-7d35-45a9-a573-fae7c6a4bf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868607-2980-4133-BF7E-C0DC049909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51FB68-1589-4C29-969D-478A4D1390C3}">
  <ds:schemaRefs>
    <ds:schemaRef ds:uri="http://schemas.microsoft.com/office/2006/metadata/properties"/>
    <ds:schemaRef ds:uri="http://schemas.microsoft.com/office/infopath/2007/PartnerControls"/>
    <ds:schemaRef ds:uri="cbc2c289-3bfc-4821-b5f2-f3a08a52b552"/>
    <ds:schemaRef ds:uri="7433a74e-7d35-45a9-a573-fae7c6a4bf86"/>
  </ds:schemaRefs>
</ds:datastoreItem>
</file>

<file path=customXml/itemProps3.xml><?xml version="1.0" encoding="utf-8"?>
<ds:datastoreItem xmlns:ds="http://schemas.openxmlformats.org/officeDocument/2006/customXml" ds:itemID="{6032D5A0-13A5-4CB4-BE20-9281D99759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c2c289-3bfc-4821-b5f2-f3a08a52b552"/>
    <ds:schemaRef ds:uri="7433a74e-7d35-45a9-a573-fae7c6a4bf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1138</Words>
  <Characters>7853</Characters>
  <Application>Microsoft Office Word</Application>
  <DocSecurity>0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ESG Eszköztár – Útmutató KKV-k részére</vt:lpstr>
    </vt:vector>
  </TitlesOfParts>
  <Company/>
  <LinksUpToDate>false</LinksUpToDate>
  <CharactersWithSpaces>8974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ESG Eszköztár – Útmutató KKV-k részére</dc:title>
  <dc:creator>ESG tanácsadói csapat</dc:creator>
  <cp:lastModifiedBy>Pesthy Zsuzsanna</cp:lastModifiedBy>
  <cp:revision>2</cp:revision>
  <dcterms:created xsi:type="dcterms:W3CDTF">2026-06-08T13:01:00Z</dcterms:created>
  <dcterms:modified xsi:type="dcterms:W3CDTF">2026-06-08T13:01:00Z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35477876-a4e9-4460-af8c-7609f1689930</vt:lpwstr>
  </property>
  <property fmtid="{D5CDD505-2E9C-101B-9397-08002B2CF9AE}" pid="3" name="ContentTypeId">
    <vt:lpwstr>0x01010045C1425ABD35F74CA00541DC729FAB77</vt:lpwstr>
  </property>
  <property fmtid="{D5CDD505-2E9C-101B-9397-08002B2CF9AE}" pid="4" name="MediaServiceImageTags">
    <vt:lpwstr/>
  </property>
</Properties>
</file>